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1EA" w:rsidRDefault="009821EA" w:rsidP="009821EA">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3"/>
      <w:r>
        <w:rPr>
          <w:rFonts w:ascii="Arial" w:hAnsi="Arial" w:cs="Arial"/>
          <w:b/>
          <w:bCs/>
          <w:sz w:val="20"/>
          <w:szCs w:val="20"/>
        </w:rPr>
        <w:t>Tài khoản 635 - Chi phí tài chính</w:t>
      </w:r>
      <w:bookmarkEnd w:id="0"/>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phản ánh những khoản chi phí hoạt động tài chính bao gồm:</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lãi tiền vay, lãi mua hàng trả chậm, lãi thuê tài sản thuê tài chính;</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Chiết khấu thanh toán cho người mua;</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lỗ do thanh lý, nhượng bán các khoản đầu tư; chi phí giao dịch bán chứng khoán;</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Lỗ tỷ giá hối đoái phát sinh trong kỳ; Lỗ tỷ giá hối đoái do đánh giá lại cuối kỳ các khoản mục tiền tệ có gốc ngoại tệ; Lỗ bán ngoại tệ;</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trích lập dự phòng giảm giá chứng khoán kinh doanh, dự phòng tổn thất đầu tư vào đơn vị khác;</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phí của hoạt động đầu tư tài chính khác;</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phí tài chính khác.</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Tài khoản 635 phải được hạch toán chi tiết cho từng nội dung chi phí. Không hạch toán vào tài khoản 635 những nội dung chi phí sau đây:</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phục vụ cho việc sản xuất sản phẩm, cung cấp dịch vụ;</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bán hàng;</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quản lý doanh nghiệp;</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kinh doanh bất động sản;</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đầu tư xây dựng cơ bản;</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phí được trang trải bằng nguồn kinh phí khác;</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khác.</w:t>
      </w:r>
    </w:p>
    <w:p w:rsidR="009821EA" w:rsidRDefault="009821EA" w:rsidP="009821EA">
      <w:pPr>
        <w:pStyle w:val="NormalWeb"/>
        <w:shd w:val="clear" w:color="auto" w:fill="FFFFFF"/>
        <w:spacing w:before="0" w:beforeAutospacing="0" w:after="0" w:afterAutospacing="0" w:line="234" w:lineRule="atLeast"/>
        <w:rPr>
          <w:rFonts w:ascii="Arial" w:hAnsi="Arial" w:cs="Arial"/>
          <w:color w:val="000000"/>
          <w:sz w:val="18"/>
          <w:szCs w:val="18"/>
        </w:rPr>
      </w:pPr>
      <w:r>
        <w:rPr>
          <w:rFonts w:ascii="Arial" w:hAnsi="Arial" w:cs="Arial"/>
          <w:sz w:val="20"/>
          <w:szCs w:val="20"/>
        </w:rPr>
        <w:t>c) Việc hạch toán khoản chi phí tài chính phát sinh liên quan đến ngoại tệ được thực hiện theo quy định tại </w:t>
      </w:r>
      <w:bookmarkStart w:id="1" w:name="tc_16"/>
      <w:r>
        <w:rPr>
          <w:rFonts w:ascii="Arial" w:hAnsi="Arial" w:cs="Arial"/>
          <w:color w:val="0000FF"/>
          <w:sz w:val="20"/>
          <w:szCs w:val="20"/>
        </w:rPr>
        <w:t>Điều 52 Thông tư này.</w:t>
      </w:r>
      <w:bookmarkEnd w:id="1"/>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635 - Chi phí tài chính</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phí tài chính phát sinh trong kỳ;</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Trích lập bổ sung dự phòng giảm giá chứng khoán kinh doanh, dự phòng tổn thất đầu tư vào đơn vị khác (chênh lệch giữa số dự phòng phải lập kỳ này lớn hơn số dự phòng đã lập kỳ trước).</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Hoàn nhập dự phòng giảm giá chứng khoán kinh doanh, dự phòng tổn thất đầu tư vào đơn vị khác (chênh lệch giữa số dự phòng phải lập kỳ này nhỏ hơn số dự phòng đã trích lập kỳ trước chưa sử dụng hết);</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được ghi giảm chi phí tài chính;</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Cuối kỳ kế toán, kết chuyển toàn bộ chi phí tài chính phát sinh trong kỳ để xác định kết quả hoạt động kinh doanh.</w:t>
      </w:r>
    </w:p>
    <w:p w:rsidR="009821EA" w:rsidRDefault="009821EA" w:rsidP="009821E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635 không có số dư cuối kỳ.</w:t>
      </w:r>
    </w:p>
    <w:p w:rsidR="00943631" w:rsidRDefault="00943631">
      <w:bookmarkStart w:id="2" w:name="_GoBack"/>
      <w:bookmarkEnd w:id="2"/>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1EA"/>
    <w:rsid w:val="00943631"/>
    <w:rsid w:val="009821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6F7A6D-29AC-4274-9E45-5CECA5B4A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21E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94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2024-03-18T01:56:00Z</dcterms:created>
  <dcterms:modified xsi:type="dcterms:W3CDTF">2024-03-18T01:56:00Z</dcterms:modified>
</cp:coreProperties>
</file>